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表1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Times New Roman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广东省201</w:t>
      </w:r>
      <w:r>
        <w:rPr>
          <w:rFonts w:hint="eastAsia" w:ascii="Times New Roman" w:hAnsi="Times New Roman" w:eastAsia="Times New Roman"/>
          <w:sz w:val="36"/>
        </w:rPr>
        <w:t>8</w:t>
      </w:r>
      <w:r>
        <w:rPr>
          <w:rFonts w:hint="eastAsia" w:ascii="Times New Roman" w:hAnsi="Times New Roman" w:eastAsia="方正小标宋简体"/>
          <w:sz w:val="36"/>
        </w:rPr>
        <w:t>年</w:t>
      </w:r>
      <w:r>
        <w:rPr>
          <w:rFonts w:hint="eastAsia" w:ascii="Times New Roman" w:hAnsi="Times New Roman" w:eastAsia="方正小标宋简体"/>
          <w:sz w:val="36"/>
          <w:lang w:val="en-US" w:eastAsia="zh-CN"/>
        </w:rPr>
        <w:t>10</w:t>
      </w:r>
      <w:r>
        <w:rPr>
          <w:rFonts w:hint="eastAsia" w:ascii="Times New Roman" w:hAnsi="Times New Roman" w:eastAsia="方正小标宋简体"/>
          <w:sz w:val="36"/>
        </w:rPr>
        <w:t>月</w:t>
      </w:r>
      <w:r>
        <w:rPr>
          <w:rFonts w:hint="eastAsia" w:ascii="Times New Roman" w:hAnsi="Times New Roman" w:eastAsia="方正小标宋简体"/>
          <w:sz w:val="36"/>
          <w:lang w:eastAsia="zh-CN"/>
        </w:rPr>
        <w:t>上</w:t>
      </w:r>
      <w:r>
        <w:rPr>
          <w:rFonts w:hint="eastAsia" w:ascii="Times New Roman" w:hAnsi="Times New Roman" w:eastAsia="方正小标宋简体"/>
          <w:sz w:val="36"/>
        </w:rPr>
        <w:t>半月登革热、寨卡病毒病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媒介伊蚊密度状态监测统计表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监测</w:t>
            </w:r>
          </w:p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827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71.95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420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30.71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89.89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94.29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84.78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84.95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79.31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68.92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87.79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88.29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90.43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174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126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72.41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86.81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总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仿宋" w:eastAsia="仿宋"/>
                <w:b/>
                <w:sz w:val="24"/>
              </w:rPr>
              <w:t>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1600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3167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2289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28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28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28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28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28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both"/>
        <w:rPr>
          <w:rFonts w:hint="eastAsia" w:ascii="Times New Roman" w:hAnsi="Times New Roman" w:eastAsia="宋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2</w:t>
      </w:r>
      <w:r>
        <w:rPr>
          <w:rFonts w:hint="eastAsia" w:ascii="Times New Roman" w:hAnsi="Times New Roman" w:eastAsia="宋体"/>
          <w:sz w:val="32"/>
          <w:lang w:val="en-US" w:eastAsia="zh-CN"/>
        </w:rPr>
        <w:t xml:space="preserve">     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各地区登革热媒介伊蚊幼虫密度监测结果（高密度）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6"/>
        <w:gridCol w:w="1064"/>
        <w:gridCol w:w="399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1483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eastAsia="仿宋"/>
                <w:b/>
                <w:bCs/>
                <w:kern w:val="2"/>
                <w:sz w:val="24"/>
              </w:rPr>
            </w:pPr>
            <w:r>
              <w:rPr>
                <w:rFonts w:hAnsi="Calibri" w:eastAsia="仿宋"/>
                <w:b/>
                <w:bCs/>
                <w:kern w:val="2"/>
                <w:sz w:val="24"/>
              </w:rPr>
              <w:t>监测日期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eastAsia="仿宋"/>
                <w:b/>
                <w:bCs/>
                <w:kern w:val="2"/>
                <w:sz w:val="24"/>
              </w:rPr>
            </w:pPr>
            <w:r>
              <w:rPr>
                <w:rFonts w:hAnsi="Calibri" w:eastAsia="仿宋"/>
                <w:b/>
                <w:bCs/>
                <w:kern w:val="2"/>
                <w:sz w:val="24"/>
              </w:rPr>
              <w:t>地市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eastAsia="仿宋"/>
                <w:b/>
                <w:bCs/>
                <w:kern w:val="2"/>
                <w:sz w:val="24"/>
              </w:rPr>
            </w:pPr>
            <w:r>
              <w:rPr>
                <w:rFonts w:hAnsi="Calibri" w:eastAsia="仿宋"/>
                <w:b/>
                <w:bCs/>
                <w:kern w:val="2"/>
                <w:sz w:val="24"/>
              </w:rPr>
              <w:t>县（区）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eastAsia="仿宋"/>
                <w:b/>
                <w:bCs/>
                <w:kern w:val="2"/>
                <w:sz w:val="24"/>
              </w:rPr>
            </w:pPr>
            <w:r>
              <w:rPr>
                <w:rFonts w:hAnsi="Calibri" w:eastAsia="仿宋"/>
                <w:b/>
                <w:bCs/>
                <w:kern w:val="2"/>
                <w:sz w:val="24"/>
              </w:rPr>
              <w:t>街（镇）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eastAsia="仿宋"/>
                <w:b/>
                <w:bCs/>
                <w:kern w:val="2"/>
                <w:sz w:val="24"/>
              </w:rPr>
            </w:pPr>
            <w:r>
              <w:rPr>
                <w:rFonts w:eastAsia="仿宋"/>
                <w:b/>
                <w:bCs/>
                <w:kern w:val="2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2018年10月上半月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广州市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天河区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珠吉街文华大街外环境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白云区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江高镇南岗村岗北街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松洲街海边巷4号天台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松洲街仁德街59号天台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江高镇沙溪村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松洲街万龙由义巷5号天台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江高镇江村镇一街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松洲街仁德街61号天台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番禺区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东环街龙美村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小谷围街北亭村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花都区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新雅街东镜村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增城区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正果镇花园村卢屋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珠海市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香洲区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唐家湾镇(高新区)后环华发蔚蓝堡与华发绿洋湾之间工地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梅州市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兴宁市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宁新办事处东风居委居民区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江门市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蓬江区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白沙街道岭梅社区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阳江市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江城区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平冈镇松中村委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湛江市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赤坎区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沙湾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霞山区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建设街道办坎坡村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遂溪县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乐民镇安埠村委会拖米埠上、下村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北坡镇南渡村委会何村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肇庆市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鼎湖区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坑口街道山林湖非市民区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坑口街道新园四街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沙浦镇桃二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坑口街道氧吧名轩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潮州市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湘桥区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城西街道潮新居委会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饶平县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钱东镇西港村西新二横、西新中巷、西新东巷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枫溪区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蔡陇村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揭阳市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普宁市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流沙西办事处赵厝寮村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燎原镇果陇村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sz w:val="24"/>
                <w:szCs w:val="24"/>
              </w:rPr>
              <w:t>流沙西办事处南山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24.00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黑体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黑体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黑体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Times New Roman"/>
          <w:sz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3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各地区登革热媒介伊蚊成蚊密度监测结果（高密度）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25"/>
        <w:gridCol w:w="1230"/>
        <w:gridCol w:w="404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1487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/>
                <w:bCs/>
                <w:kern w:val="2"/>
                <w:sz w:val="24"/>
              </w:rPr>
            </w:pPr>
            <w:r>
              <w:rPr>
                <w:rFonts w:hAnsi="Calibri" w:eastAsia="仿宋"/>
                <w:b/>
                <w:bCs/>
                <w:kern w:val="2"/>
                <w:sz w:val="24"/>
              </w:rPr>
              <w:t>监测日期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/>
                <w:bCs/>
                <w:kern w:val="2"/>
                <w:sz w:val="24"/>
              </w:rPr>
            </w:pPr>
            <w:r>
              <w:rPr>
                <w:rFonts w:hAnsi="Calibri" w:eastAsia="仿宋"/>
                <w:b/>
                <w:bCs/>
                <w:kern w:val="2"/>
                <w:sz w:val="24"/>
              </w:rPr>
              <w:t>地市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/>
                <w:bCs/>
                <w:kern w:val="2"/>
                <w:sz w:val="24"/>
              </w:rPr>
            </w:pPr>
            <w:r>
              <w:rPr>
                <w:rFonts w:hAnsi="Calibri" w:eastAsia="仿宋"/>
                <w:b/>
                <w:bCs/>
                <w:kern w:val="2"/>
                <w:sz w:val="24"/>
              </w:rPr>
              <w:t>县（区）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/>
                <w:bCs/>
                <w:kern w:val="2"/>
                <w:sz w:val="24"/>
              </w:rPr>
            </w:pPr>
            <w:r>
              <w:rPr>
                <w:rFonts w:hAnsi="Calibri" w:eastAsia="仿宋"/>
                <w:b/>
                <w:bCs/>
                <w:kern w:val="2"/>
                <w:sz w:val="24"/>
              </w:rPr>
              <w:t>街（镇）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/>
                <w:bCs/>
                <w:kern w:val="2"/>
                <w:sz w:val="24"/>
              </w:rPr>
            </w:pPr>
            <w:r>
              <w:rPr>
                <w:rFonts w:hint="default" w:hAnsi="Calibri" w:eastAsia="仿宋"/>
                <w:b/>
                <w:bCs/>
                <w:kern w:val="2"/>
                <w:sz w:val="24"/>
              </w:rPr>
              <w:t>MO</w:t>
            </w:r>
            <w:r>
              <w:rPr>
                <w:rFonts w:hAnsi="Calibri" w:eastAsia="仿宋"/>
                <w:b/>
                <w:bCs/>
                <w:kern w:val="2"/>
                <w:sz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</w:rPr>
              <w:t>2018年10月上半月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广州市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荔湾区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东沙街东塱社区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天河区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前进街羊城花园小区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番禺区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大石街丽水湾小区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27.08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大石街猛涌湖公园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20.41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洛浦街海滨花园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从化区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城郊街社区卫生服务中心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街口街从化中学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江埔街七星体育公园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江埔街从化第三中学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佛山市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南海区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大沥镇盐步联安汇龙村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25.93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大沥镇沥北联江东路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24.14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Ansi="Calibri" w:eastAsia="仿宋"/>
                <w:b w:val="0"/>
                <w:bCs w:val="0"/>
                <w:kern w:val="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江门市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蓬江区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Calibri" w:hAnsi="Calibri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仿宋" w:cs="Times New Roman"/>
                <w:b w:val="0"/>
                <w:bCs w:val="0"/>
                <w:sz w:val="24"/>
                <w:szCs w:val="24"/>
              </w:rPr>
              <w:t>白沙街道良化南一社区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33.33 </w:t>
            </w:r>
          </w:p>
        </w:tc>
      </w:tr>
    </w:tbl>
    <w:p>
      <w:pPr>
        <w:spacing w:beforeLines="0" w:afterLines="0"/>
        <w:rPr>
          <w:rFonts w:hint="eastAsia" w:ascii="仿宋_GB2312" w:hAnsi="Times New Roman" w:eastAsia="仿宋_GB2312"/>
          <w:snapToGrid w:val="0"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30B2E"/>
    <w:rsid w:val="39B30B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2018-11-05T06:17:00Z</dcterms:created>
  <dc:creator>Administrator</dc:creator>
  <cp:lastModifiedBy>Administrator</cp:lastModifiedBy>
  <dcterms:modified xsi:type="dcterms:W3CDTF">2018-11-05T06:17:48Z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