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360" w:lineRule="auto"/>
        <w:rPr>
          <w:rFonts w:hint="default" w:eastAsia="黑体"/>
          <w:sz w:val="32"/>
        </w:rPr>
      </w:pPr>
      <w:bookmarkStart w:id="0" w:name="_GoBack"/>
      <w:r>
        <w:rPr>
          <w:rFonts w:hint="eastAsia" w:ascii="黑体" w:hAnsi="黑体" w:eastAsia="黑体"/>
          <w:sz w:val="32"/>
        </w:rPr>
        <w:t>附件2</w:t>
      </w:r>
    </w:p>
    <w:p>
      <w:pPr>
        <w:pStyle w:val="2"/>
        <w:snapToGrid w:val="0"/>
        <w:jc w:val="center"/>
        <w:rPr>
          <w:rFonts w:hint="default" w:eastAsia="方正小标宋简体"/>
          <w:sz w:val="36"/>
        </w:rPr>
      </w:pPr>
      <w:r>
        <w:rPr>
          <w:rFonts w:hint="eastAsia" w:eastAsia="方正小标宋简体"/>
          <w:sz w:val="36"/>
        </w:rPr>
        <w:t>相</w:t>
      </w:r>
      <w:r>
        <w:rPr>
          <w:rFonts w:hint="default" w:eastAsia="方正小标宋简体"/>
          <w:sz w:val="36"/>
        </w:rPr>
        <w:t xml:space="preserve"> </w:t>
      </w:r>
      <w:r>
        <w:rPr>
          <w:rFonts w:hint="eastAsia" w:eastAsia="方正小标宋简体"/>
          <w:sz w:val="36"/>
        </w:rPr>
        <w:t>关</w:t>
      </w:r>
      <w:r>
        <w:rPr>
          <w:rFonts w:hint="default" w:eastAsia="方正小标宋简体"/>
          <w:sz w:val="36"/>
        </w:rPr>
        <w:t xml:space="preserve"> </w:t>
      </w:r>
      <w:r>
        <w:rPr>
          <w:rFonts w:hint="eastAsia" w:eastAsia="方正小标宋简体"/>
          <w:sz w:val="36"/>
        </w:rPr>
        <w:t>名 词 解 释</w:t>
      </w:r>
      <w:bookmarkEnd w:id="0"/>
    </w:p>
    <w:tbl>
      <w:tblPr>
        <w:tblStyle w:val="4"/>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7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818" w:type="dxa"/>
            <w:noWrap w:val="0"/>
            <w:vAlign w:val="center"/>
          </w:tcPr>
          <w:p>
            <w:pPr>
              <w:spacing w:line="280" w:lineRule="exact"/>
              <w:jc w:val="center"/>
              <w:rPr>
                <w:rFonts w:hint="eastAsia" w:ascii="黑体" w:hAnsi="黑体" w:eastAsia="黑体" w:cs="Times New Roman"/>
                <w:b w:val="0"/>
                <w:bCs w:val="0"/>
                <w:sz w:val="28"/>
              </w:rPr>
            </w:pPr>
            <w:r>
              <w:rPr>
                <w:rFonts w:hint="eastAsia" w:ascii="黑体" w:hAnsi="黑体" w:eastAsia="黑体" w:cs="Times New Roman"/>
                <w:b w:val="0"/>
                <w:bCs w:val="0"/>
                <w:sz w:val="28"/>
              </w:rPr>
              <w:t>名称</w:t>
            </w:r>
          </w:p>
        </w:tc>
        <w:tc>
          <w:tcPr>
            <w:tcW w:w="7468" w:type="dxa"/>
            <w:noWrap w:val="0"/>
            <w:vAlign w:val="center"/>
          </w:tcPr>
          <w:p>
            <w:pPr>
              <w:spacing w:line="280" w:lineRule="exact"/>
              <w:jc w:val="center"/>
              <w:rPr>
                <w:rFonts w:hint="eastAsia" w:ascii="黑体" w:hAnsi="黑体" w:eastAsia="黑体" w:cs="Times New Roman"/>
                <w:b w:val="0"/>
                <w:bCs w:val="0"/>
                <w:sz w:val="28"/>
              </w:rPr>
            </w:pPr>
            <w:r>
              <w:rPr>
                <w:rFonts w:hint="eastAsia" w:ascii="黑体" w:hAnsi="黑体" w:eastAsia="黑体" w:cs="Times New Roman"/>
                <w:b w:val="0"/>
                <w:bCs w:val="0"/>
                <w:sz w:val="28"/>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center"/>
              <w:textAlignment w:val="auto"/>
              <w:outlineLvl w:val="9"/>
              <w:rPr>
                <w:rFonts w:hint="default" w:ascii="Times New Roman" w:hAnsi="Times New Roman" w:eastAsia="仿宋_GB2312" w:cs="Times New Roman"/>
                <w:bCs/>
                <w:sz w:val="24"/>
              </w:rPr>
            </w:pPr>
            <w:r>
              <w:rPr>
                <w:rFonts w:hint="default" w:ascii="Times New Roman" w:hAnsi="Times New Roman" w:eastAsia="仿宋_GB2312" w:cs="Times New Roman"/>
                <w:bCs/>
                <w:sz w:val="24"/>
              </w:rPr>
              <w:t>疑似预防接种异常反应</w:t>
            </w:r>
          </w:p>
        </w:tc>
        <w:tc>
          <w:tcPr>
            <w:tcW w:w="746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在预防接种后发生的怀疑与预防接种有关的反应或事件。包括不良反应、疫苗质量事故、接种事故、偶合症、心因性反应。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严重疑似预防接种异常反应</w:t>
            </w:r>
          </w:p>
        </w:tc>
        <w:tc>
          <w:tcPr>
            <w:tcW w:w="746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疑似预防接种异常反应中有下列情形之一者：导致死亡；危及生命；导致永久或显著的伤残或器官功能损伤。严重疑似预防接种异常反应包括过敏性休克、过敏性喉头水肿、过敏性紫癜、血小板减少性紫癜、局部过敏坏死反应(Arthus反应)、热性惊厥、癫痫、臂丛神经炎、多发性神经炎、格林巴利综合征、脑病、脑炎和脑膜炎、疫苗相关麻痹型脊髓灰质炎、卡介苗骨髓炎、全身播散性卡介苗感染、晕厥、中毒性休克综合征、全身化脓性感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center"/>
              <w:textAlignment w:val="auto"/>
              <w:outlineLvl w:val="9"/>
              <w:rPr>
                <w:rFonts w:hint="default" w:ascii="Times New Roman" w:hAnsi="Times New Roman" w:eastAsia="仿宋_GB2312" w:cs="Times New Roman"/>
                <w:bCs/>
                <w:sz w:val="24"/>
              </w:rPr>
            </w:pPr>
            <w:r>
              <w:rPr>
                <w:rFonts w:hint="default" w:ascii="Times New Roman" w:hAnsi="Times New Roman" w:eastAsia="仿宋_GB2312" w:cs="Times New Roman"/>
                <w:bCs/>
                <w:sz w:val="24"/>
              </w:rPr>
              <w:t>预防接种不良反应</w:t>
            </w:r>
          </w:p>
        </w:tc>
        <w:tc>
          <w:tcPr>
            <w:tcW w:w="746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合格的疫苗在实施规范接种后，发生的与预防接种目的无关或意外的有害反应，包括一般反应和异常反应。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center"/>
              <w:textAlignment w:val="auto"/>
              <w:outlineLvl w:val="9"/>
              <w:rPr>
                <w:rFonts w:hint="default" w:ascii="Times New Roman" w:hAnsi="Times New Roman" w:eastAsia="仿宋_GB2312" w:cs="Times New Roman"/>
                <w:bCs/>
                <w:sz w:val="24"/>
              </w:rPr>
            </w:pPr>
            <w:r>
              <w:rPr>
                <w:rFonts w:hint="default" w:ascii="Times New Roman" w:hAnsi="Times New Roman" w:eastAsia="仿宋_GB2312" w:cs="Times New Roman"/>
                <w:bCs/>
                <w:sz w:val="24"/>
              </w:rPr>
              <w:t>一般反应</w:t>
            </w:r>
          </w:p>
        </w:tc>
        <w:tc>
          <w:tcPr>
            <w:tcW w:w="746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在预防接种后发生的，由疫苗本身所固有的特性引起的，对机体只会造成一过性生理功能障碍的反应，主要有发热和局部红肿，同时可能伴有全身不适、倦怠、食欲不振、乏力等综合症状。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center"/>
              <w:textAlignment w:val="auto"/>
              <w:outlineLvl w:val="9"/>
              <w:rPr>
                <w:rFonts w:hint="default" w:ascii="Times New Roman" w:hAnsi="Times New Roman" w:eastAsia="仿宋_GB2312" w:cs="Times New Roman"/>
                <w:bCs/>
                <w:sz w:val="24"/>
              </w:rPr>
            </w:pPr>
            <w:r>
              <w:rPr>
                <w:rFonts w:hint="default" w:ascii="Times New Roman" w:hAnsi="Times New Roman" w:eastAsia="仿宋_GB2312" w:cs="Times New Roman"/>
                <w:bCs/>
                <w:sz w:val="24"/>
              </w:rPr>
              <w:t>异常反应</w:t>
            </w:r>
          </w:p>
        </w:tc>
        <w:tc>
          <w:tcPr>
            <w:tcW w:w="746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合格的疫苗在实施规范接种过程中或者实施规范接种后造成受种者机体组织器官、功能损害，相关各方均无过错的药品不良反应。异常反应是由疫苗本身所固有的特性引起的相对罕见、严重的不良反应，与疫苗的毒株、纯度、生产工艺、疫苗中的附加物如防腐剂、稳定剂、佐剂等因素有关。</w:t>
            </w:r>
          </w:p>
          <w:p>
            <w:pPr>
              <w:keepNext w:val="0"/>
              <w:keepLines w:val="0"/>
              <w:pageBreakBefore w:val="0"/>
              <w:widowControl w:val="0"/>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highlight w:val="none"/>
              </w:rPr>
              <w:t>由于我省于2018年补偿保险机制实施起使用新的调查诊断工作指引（2018年），故此处的异常反应包含诊断分类为“属于异常反应、非常可能是异常反应，可能是异常反应，不太可能是异常反应”四类。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center"/>
              <w:textAlignment w:val="auto"/>
              <w:outlineLvl w:val="9"/>
              <w:rPr>
                <w:rFonts w:hint="default" w:ascii="Times New Roman" w:hAnsi="Times New Roman" w:eastAsia="仿宋_GB2312" w:cs="Times New Roman"/>
                <w:bCs/>
                <w:sz w:val="24"/>
              </w:rPr>
            </w:pPr>
            <w:r>
              <w:rPr>
                <w:rFonts w:hint="default" w:ascii="Times New Roman" w:hAnsi="Times New Roman" w:eastAsia="仿宋_GB2312" w:cs="Times New Roman"/>
                <w:bCs/>
                <w:sz w:val="24"/>
              </w:rPr>
              <w:t>严重异常反应</w:t>
            </w:r>
          </w:p>
        </w:tc>
        <w:tc>
          <w:tcPr>
            <w:tcW w:w="746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严重</w:t>
            </w:r>
            <w:r>
              <w:rPr>
                <w:rFonts w:hint="default" w:ascii="Times New Roman" w:hAnsi="Times New Roman" w:eastAsia="仿宋_GB2312" w:cs="Times New Roman"/>
                <w:bCs/>
                <w:sz w:val="24"/>
              </w:rPr>
              <w:t>疑似预防接种异常反应</w:t>
            </w:r>
            <w:r>
              <w:rPr>
                <w:rFonts w:hint="default" w:ascii="Times New Roman" w:hAnsi="Times New Roman" w:eastAsia="仿宋_GB2312" w:cs="Times New Roman"/>
                <w:sz w:val="24"/>
              </w:rPr>
              <w:t>中诊断为异常反应者。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center"/>
              <w:textAlignment w:val="auto"/>
              <w:outlineLvl w:val="9"/>
              <w:rPr>
                <w:rFonts w:hint="default" w:ascii="Times New Roman" w:hAnsi="Times New Roman" w:eastAsia="仿宋_GB2312" w:cs="Times New Roman"/>
                <w:bCs/>
                <w:sz w:val="24"/>
              </w:rPr>
            </w:pPr>
            <w:r>
              <w:rPr>
                <w:rFonts w:hint="default" w:ascii="Times New Roman" w:hAnsi="Times New Roman" w:eastAsia="仿宋_GB2312" w:cs="Times New Roman"/>
                <w:bCs/>
                <w:sz w:val="24"/>
              </w:rPr>
              <w:t>疫苗质量事故</w:t>
            </w:r>
          </w:p>
        </w:tc>
        <w:tc>
          <w:tcPr>
            <w:tcW w:w="746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由于疫苗质量不合格，接种后造成受种者机体组织器官、功能损害。疫苗质量不合格是指疫苗毒株、纯度、生产工艺、疫苗中的附加物、外源性因子、疫苗出厂前检定等不符合国家规定的疫苗生产规范或标准。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center"/>
              <w:textAlignment w:val="auto"/>
              <w:outlineLvl w:val="9"/>
              <w:rPr>
                <w:rFonts w:hint="default" w:ascii="Times New Roman" w:hAnsi="Times New Roman" w:eastAsia="仿宋_GB2312" w:cs="Times New Roman"/>
                <w:bCs/>
                <w:sz w:val="24"/>
              </w:rPr>
            </w:pPr>
            <w:r>
              <w:rPr>
                <w:rFonts w:hint="default" w:ascii="Times New Roman" w:hAnsi="Times New Roman" w:eastAsia="仿宋_GB2312" w:cs="Times New Roman"/>
                <w:bCs/>
                <w:sz w:val="24"/>
              </w:rPr>
              <w:t>接种事故</w:t>
            </w:r>
          </w:p>
        </w:tc>
        <w:tc>
          <w:tcPr>
            <w:tcW w:w="746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由于在预防接种实施过程中违反预防接种工作规范、免疫程序、疫苗使用指导原则、接种方案，造成受种者机体组织器官、功能损害。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center"/>
              <w:textAlignment w:val="auto"/>
              <w:outlineLvl w:val="9"/>
              <w:rPr>
                <w:rFonts w:hint="default" w:ascii="Times New Roman" w:hAnsi="Times New Roman" w:eastAsia="仿宋_GB2312" w:cs="Times New Roman"/>
                <w:bCs/>
                <w:sz w:val="24"/>
              </w:rPr>
            </w:pPr>
            <w:r>
              <w:rPr>
                <w:rFonts w:hint="default" w:ascii="Times New Roman" w:hAnsi="Times New Roman" w:eastAsia="仿宋_GB2312" w:cs="Times New Roman"/>
                <w:bCs/>
                <w:sz w:val="24"/>
              </w:rPr>
              <w:t>偶合症</w:t>
            </w:r>
          </w:p>
        </w:tc>
        <w:tc>
          <w:tcPr>
            <w:tcW w:w="746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受种者在接种时正处于某种疾病的潜伏期或者前驱期，接种后巧合发病。偶合症不是由疫苗的固有性质引起的。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center"/>
              <w:textAlignment w:val="auto"/>
              <w:outlineLvl w:val="9"/>
              <w:rPr>
                <w:rFonts w:hint="default" w:ascii="Times New Roman" w:hAnsi="Times New Roman" w:eastAsia="仿宋_GB2312" w:cs="Times New Roman"/>
                <w:bCs/>
                <w:sz w:val="24"/>
              </w:rPr>
            </w:pPr>
            <w:r>
              <w:rPr>
                <w:rFonts w:hint="default" w:ascii="Times New Roman" w:hAnsi="Times New Roman" w:eastAsia="仿宋_GB2312" w:cs="Times New Roman"/>
                <w:bCs/>
                <w:sz w:val="24"/>
              </w:rPr>
              <w:t>心因性反应</w:t>
            </w:r>
          </w:p>
        </w:tc>
        <w:tc>
          <w:tcPr>
            <w:tcW w:w="746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在预防接种实施过程中或接种后因受种者心理因素发生的个体或者群体的反应。心因性反应不是由疫苗的固有性质引起的。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center"/>
              <w:textAlignment w:val="auto"/>
              <w:outlineLvl w:val="9"/>
              <w:rPr>
                <w:rFonts w:hint="default" w:ascii="Times New Roman" w:hAnsi="Times New Roman" w:eastAsia="仿宋_GB2312" w:cs="Times New Roman"/>
                <w:bCs/>
                <w:sz w:val="24"/>
              </w:rPr>
            </w:pPr>
            <w:r>
              <w:rPr>
                <w:rFonts w:hint="default" w:ascii="Times New Roman" w:hAnsi="Times New Roman" w:eastAsia="仿宋_GB2312" w:cs="Times New Roman"/>
                <w:bCs/>
                <w:sz w:val="24"/>
              </w:rPr>
              <w:t>群体性疑似预防接种异常反应</w:t>
            </w:r>
          </w:p>
        </w:tc>
        <w:tc>
          <w:tcPr>
            <w:tcW w:w="746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短时间内同一接种单位的受种者中，发生的2例及以上相同或类似临床症状的严重</w:t>
            </w:r>
            <w:r>
              <w:rPr>
                <w:rFonts w:hint="default" w:ascii="Times New Roman" w:hAnsi="Times New Roman" w:eastAsia="仿宋_GB2312" w:cs="Times New Roman"/>
                <w:bCs/>
                <w:sz w:val="24"/>
              </w:rPr>
              <w:t>疑似预防接种异常反应</w:t>
            </w:r>
            <w:r>
              <w:rPr>
                <w:rFonts w:hint="default" w:ascii="Times New Roman" w:hAnsi="Times New Roman" w:eastAsia="仿宋_GB2312" w:cs="Times New Roman"/>
                <w:sz w:val="24"/>
              </w:rPr>
              <w:t>；或短时间内同一接种单位的同种疫苗受种者中，发生相同或类似临床症状的非严重</w:t>
            </w:r>
            <w:r>
              <w:rPr>
                <w:rFonts w:hint="default" w:ascii="Times New Roman" w:hAnsi="Times New Roman" w:eastAsia="仿宋_GB2312" w:cs="Times New Roman"/>
                <w:bCs/>
                <w:sz w:val="24"/>
              </w:rPr>
              <w:t>疑似预防接种异常反应</w:t>
            </w:r>
            <w:r>
              <w:rPr>
                <w:rFonts w:hint="default" w:ascii="Times New Roman" w:hAnsi="Times New Roman" w:eastAsia="仿宋_GB2312" w:cs="Times New Roman"/>
                <w:sz w:val="24"/>
              </w:rPr>
              <w:t>明显增多。</w:t>
            </w:r>
          </w:p>
        </w:tc>
      </w:tr>
    </w:tbl>
    <w:p/>
    <w:sectPr>
      <w:headerReference r:id="rId3" w:type="default"/>
      <w:footerReference r:id="rId4" w:type="default"/>
      <w:pgSz w:w="11906" w:h="16838"/>
      <w:pgMar w:top="1927" w:right="1531" w:bottom="1927" w:left="1531"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ind w:right="360" w:firstLine="360"/>
      <w:rPr>
        <w:rFonts w:hint="default"/>
        <w:sz w:val="18"/>
      </w:rPr>
    </w:pPr>
    <w:r>
      <w:rPr>
        <w:rFonts w:hint="default"/>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beforeLines="0" w:afterLines="0"/>
                            <w:rPr>
                              <w:rFonts w:hint="eastAsia" w:ascii="仿宋_GB2312" w:hAnsi="仿宋_GB2312" w:eastAsia="仿宋_GB2312"/>
                              <w:sz w:val="28"/>
                            </w:rPr>
                          </w:pPr>
                          <w:r>
                            <w:rPr>
                              <w:rFonts w:hint="eastAsia" w:ascii="仿宋_GB2312" w:hAnsi="仿宋_GB2312" w:eastAsia="仿宋_GB2312"/>
                              <w:sz w:val="28"/>
                            </w:rPr>
                            <w:fldChar w:fldCharType="begin"/>
                          </w:r>
                          <w:r>
                            <w:rPr>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Fonts w:hint="eastAsia" w:ascii="仿宋_GB2312" w:hAnsi="仿宋_GB2312" w:eastAsia="仿宋_GB2312"/>
                              <w:sz w:val="28"/>
                            </w:rPr>
                            <w:t>- 2 -</w:t>
                          </w:r>
                          <w:r>
                            <w:rPr>
                              <w:rFonts w:hint="eastAsia" w:ascii="仿宋_GB2312" w:hAnsi="仿宋_GB2312" w:eastAsia="仿宋_GB2312"/>
                              <w:sz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v:imagedata o:title=""/>
              <o:lock v:ext="edit" grouping="f" rotation="f" text="f" aspectratio="f"/>
              <v:textbox inset="0mm,0mm,0mm,0mm" style="mso-fit-shape-to-text:t;">
                <w:txbxContent>
                  <w:p>
                    <w:pPr>
                      <w:pStyle w:val="3"/>
                      <w:spacing w:beforeLines="0" w:afterLines="0"/>
                      <w:rPr>
                        <w:rFonts w:hint="eastAsia" w:ascii="仿宋_GB2312" w:hAnsi="仿宋_GB2312" w:eastAsia="仿宋_GB2312"/>
                        <w:sz w:val="28"/>
                      </w:rPr>
                    </w:pPr>
                    <w:r>
                      <w:rPr>
                        <w:rFonts w:hint="eastAsia" w:ascii="仿宋_GB2312" w:hAnsi="仿宋_GB2312" w:eastAsia="仿宋_GB2312"/>
                        <w:sz w:val="28"/>
                      </w:rPr>
                      <w:fldChar w:fldCharType="begin"/>
                    </w:r>
                    <w:r>
                      <w:rPr>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Fonts w:hint="eastAsia" w:ascii="仿宋_GB2312" w:hAnsi="仿宋_GB2312" w:eastAsia="仿宋_GB2312"/>
                        <w:sz w:val="28"/>
                      </w:rPr>
                      <w:t>- 2 -</w:t>
                    </w:r>
                    <w:r>
                      <w:rPr>
                        <w:rFonts w:hint="eastAsia" w:ascii="仿宋_GB2312" w:hAnsi="仿宋_GB2312" w:eastAsia="仿宋_GB2312"/>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beforeLines="0" w:afterLines="0"/>
      <w:rPr>
        <w:rFonts w:hint="default"/>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50708"/>
    <w:rsid w:val="223B789B"/>
    <w:rsid w:val="63750708"/>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rFonts w:ascii="Times New Roman" w:hAnsi="Times New Roman" w:eastAsia="仿宋_GB2312" w:cs="Times New Roman"/>
      <w:sz w:val="32"/>
      <w:szCs w:val="24"/>
    </w:r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2019-07-26T08:30:00Z</dcterms:created>
  <dc:creator>华</dc:creator>
  <cp:lastModifiedBy>华</cp:lastModifiedBy>
  <dcterms:modified xsi:type="dcterms:W3CDTF">2019-07-26T08:31:43Z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