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
        <w:tblW w:w="1444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9"/>
        <w:gridCol w:w="1670"/>
        <w:gridCol w:w="1259"/>
        <w:gridCol w:w="1103"/>
        <w:gridCol w:w="1763"/>
        <w:gridCol w:w="3970"/>
        <w:gridCol w:w="1255"/>
        <w:gridCol w:w="1094"/>
        <w:gridCol w:w="1008"/>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jc w:val="center"/>
        </w:trPr>
        <w:tc>
          <w:tcPr>
            <w:tcW w:w="2059" w:type="dxa"/>
            <w:gridSpan w:val="2"/>
            <w:tcBorders>
              <w:top w:val="nil"/>
              <w:left w:val="nil"/>
              <w:bottom w:val="nil"/>
              <w:right w:val="nil"/>
            </w:tcBorders>
            <w:noWrap w:val="0"/>
            <w:tcMar>
              <w:top w:w="12" w:type="dxa"/>
              <w:left w:w="12" w:type="dxa"/>
              <w:right w:w="12" w:type="dxa"/>
            </w:tcMar>
            <w:vAlign w:val="bottom"/>
          </w:tcPr>
          <w:p>
            <w:pPr>
              <w:rPr>
                <w:rFonts w:hint="default" w:ascii="Times New Roman" w:hAnsi="Times New Roman" w:eastAsia="黑体" w:cs="Times New Roman"/>
                <w:i w:val="0"/>
                <w:color w:val="000000"/>
                <w:sz w:val="32"/>
                <w:szCs w:val="32"/>
                <w:u w:val="none"/>
              </w:rPr>
            </w:pPr>
          </w:p>
        </w:tc>
        <w:tc>
          <w:tcPr>
            <w:tcW w:w="2362" w:type="dxa"/>
            <w:gridSpan w:val="2"/>
            <w:tcBorders>
              <w:top w:val="nil"/>
              <w:left w:val="nil"/>
              <w:bottom w:val="nil"/>
              <w:right w:val="nil"/>
            </w:tcBorders>
            <w:noWrap w:val="0"/>
            <w:tcMar>
              <w:top w:w="12" w:type="dxa"/>
              <w:left w:w="12" w:type="dxa"/>
              <w:right w:w="12" w:type="dxa"/>
            </w:tcMar>
            <w:vAlign w:val="bottom"/>
          </w:tcPr>
          <w:p>
            <w:pPr>
              <w:rPr>
                <w:rFonts w:hint="default" w:ascii="Times New Roman" w:hAnsi="Times New Roman" w:eastAsia="黑体" w:cs="Times New Roman"/>
                <w:i w:val="0"/>
                <w:color w:val="000000"/>
                <w:sz w:val="32"/>
                <w:szCs w:val="32"/>
                <w:u w:val="none"/>
              </w:rPr>
            </w:pPr>
          </w:p>
        </w:tc>
        <w:tc>
          <w:tcPr>
            <w:tcW w:w="1763" w:type="dxa"/>
            <w:tcBorders>
              <w:top w:val="nil"/>
              <w:left w:val="nil"/>
              <w:bottom w:val="nil"/>
              <w:right w:val="nil"/>
            </w:tcBorders>
            <w:noWrap w:val="0"/>
            <w:tcMar>
              <w:top w:w="12" w:type="dxa"/>
              <w:left w:w="12" w:type="dxa"/>
              <w:right w:w="12" w:type="dxa"/>
            </w:tcMar>
            <w:vAlign w:val="bottom"/>
          </w:tcPr>
          <w:p>
            <w:pPr>
              <w:rPr>
                <w:rFonts w:hint="default" w:ascii="Times New Roman" w:hAnsi="Times New Roman" w:eastAsia="宋体" w:cs="Times New Roman"/>
                <w:i w:val="0"/>
                <w:color w:val="000000"/>
                <w:sz w:val="22"/>
                <w:szCs w:val="22"/>
                <w:u w:val="none"/>
              </w:rPr>
            </w:pPr>
          </w:p>
        </w:tc>
        <w:tc>
          <w:tcPr>
            <w:tcW w:w="3970" w:type="dxa"/>
            <w:tcBorders>
              <w:top w:val="nil"/>
              <w:left w:val="nil"/>
              <w:bottom w:val="nil"/>
              <w:right w:val="nil"/>
            </w:tcBorders>
            <w:noWrap w:val="0"/>
            <w:tcMar>
              <w:top w:w="12" w:type="dxa"/>
              <w:left w:w="12" w:type="dxa"/>
              <w:right w:w="12" w:type="dxa"/>
            </w:tcMar>
            <w:vAlign w:val="bottom"/>
          </w:tcPr>
          <w:p>
            <w:pPr>
              <w:rPr>
                <w:rFonts w:hint="default" w:ascii="Times New Roman" w:hAnsi="Times New Roman" w:eastAsia="宋体" w:cs="Times New Roman"/>
                <w:i w:val="0"/>
                <w:color w:val="000000"/>
                <w:sz w:val="22"/>
                <w:szCs w:val="22"/>
                <w:u w:val="none"/>
              </w:rPr>
            </w:pPr>
          </w:p>
        </w:tc>
        <w:tc>
          <w:tcPr>
            <w:tcW w:w="1255" w:type="dxa"/>
            <w:tcBorders>
              <w:top w:val="nil"/>
              <w:left w:val="nil"/>
              <w:bottom w:val="nil"/>
              <w:right w:val="nil"/>
            </w:tcBorders>
            <w:noWrap w:val="0"/>
            <w:tcMar>
              <w:top w:w="12" w:type="dxa"/>
              <w:left w:w="12" w:type="dxa"/>
              <w:right w:w="12" w:type="dxa"/>
            </w:tcMar>
            <w:vAlign w:val="bottom"/>
          </w:tcPr>
          <w:p>
            <w:pPr>
              <w:rPr>
                <w:rFonts w:hint="default" w:ascii="Times New Roman" w:hAnsi="Times New Roman" w:eastAsia="宋体" w:cs="Times New Roman"/>
                <w:i w:val="0"/>
                <w:color w:val="000000"/>
                <w:sz w:val="22"/>
                <w:szCs w:val="22"/>
                <w:u w:val="none"/>
              </w:rPr>
            </w:pPr>
          </w:p>
        </w:tc>
        <w:tc>
          <w:tcPr>
            <w:tcW w:w="1094" w:type="dxa"/>
            <w:tcBorders>
              <w:top w:val="nil"/>
              <w:left w:val="nil"/>
              <w:bottom w:val="nil"/>
              <w:right w:val="nil"/>
            </w:tcBorders>
            <w:noWrap w:val="0"/>
            <w:tcMar>
              <w:top w:w="12" w:type="dxa"/>
              <w:left w:w="12" w:type="dxa"/>
              <w:right w:w="12" w:type="dxa"/>
            </w:tcMar>
            <w:vAlign w:val="bottom"/>
          </w:tcPr>
          <w:p>
            <w:pPr>
              <w:rPr>
                <w:rFonts w:hint="default" w:ascii="Times New Roman" w:hAnsi="Times New Roman" w:eastAsia="宋体" w:cs="Times New Roman"/>
                <w:i w:val="0"/>
                <w:color w:val="000000"/>
                <w:sz w:val="22"/>
                <w:szCs w:val="22"/>
                <w:u w:val="none"/>
              </w:rPr>
            </w:pPr>
          </w:p>
        </w:tc>
        <w:tc>
          <w:tcPr>
            <w:tcW w:w="1008" w:type="dxa"/>
            <w:tcBorders>
              <w:top w:val="nil"/>
              <w:left w:val="nil"/>
              <w:bottom w:val="nil"/>
              <w:right w:val="nil"/>
            </w:tcBorders>
            <w:noWrap w:val="0"/>
            <w:tcMar>
              <w:top w:w="12" w:type="dxa"/>
              <w:left w:w="12" w:type="dxa"/>
              <w:right w:w="12" w:type="dxa"/>
            </w:tcMar>
            <w:vAlign w:val="bottom"/>
          </w:tcPr>
          <w:p>
            <w:pPr>
              <w:rPr>
                <w:rFonts w:hint="default" w:ascii="Times New Roman" w:hAnsi="Times New Roman" w:eastAsia="宋体" w:cs="Times New Roman"/>
                <w:i w:val="0"/>
                <w:color w:val="000000"/>
                <w:sz w:val="22"/>
                <w:szCs w:val="22"/>
                <w:u w:val="none"/>
              </w:rPr>
            </w:pPr>
          </w:p>
        </w:tc>
        <w:tc>
          <w:tcPr>
            <w:tcW w:w="937" w:type="dxa"/>
            <w:tcBorders>
              <w:top w:val="nil"/>
              <w:left w:val="nil"/>
              <w:bottom w:val="nil"/>
              <w:right w:val="nil"/>
            </w:tcBorders>
            <w:noWrap w:val="0"/>
            <w:tcMar>
              <w:top w:w="12" w:type="dxa"/>
              <w:left w:w="12" w:type="dxa"/>
              <w:right w:w="12" w:type="dxa"/>
            </w:tcMar>
            <w:vAlign w:val="bottom"/>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0" w:hRule="atLeast"/>
          <w:jc w:val="center"/>
        </w:trPr>
        <w:tc>
          <w:tcPr>
            <w:tcW w:w="14448" w:type="dxa"/>
            <w:gridSpan w:val="10"/>
            <w:tcBorders>
              <w:top w:val="nil"/>
              <w:left w:val="nil"/>
              <w:bottom w:val="nil"/>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default" w:ascii="Times New Roman" w:hAnsi="Times New Roman" w:eastAsia="方正小标宋_GBK" w:cs="Times New Roman"/>
                <w:i w:val="0"/>
                <w:color w:val="000000"/>
                <w:sz w:val="44"/>
                <w:szCs w:val="44"/>
                <w:u w:val="none"/>
              </w:rPr>
            </w:pPr>
            <w:bookmarkStart w:id="0" w:name="_GoBack"/>
            <w:r>
              <w:rPr>
                <w:rFonts w:hint="default" w:ascii="Times New Roman" w:hAnsi="Times New Roman" w:eastAsia="方正小标宋简体" w:cs="Times New Roman"/>
                <w:i w:val="0"/>
                <w:color w:val="000000"/>
                <w:kern w:val="0"/>
                <w:sz w:val="44"/>
                <w:szCs w:val="44"/>
                <w:u w:val="none"/>
                <w:lang w:val="en-US" w:eastAsia="zh-CN" w:bidi="ar"/>
              </w:rPr>
              <w:t>广东卫生健康系统行政审批中介服务事项清单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7" w:hRule="atLeast"/>
          <w:jc w:val="center"/>
        </w:trPr>
        <w:tc>
          <w:tcPr>
            <w:tcW w:w="3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序号</w:t>
            </w:r>
          </w:p>
        </w:tc>
        <w:tc>
          <w:tcPr>
            <w:tcW w:w="1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中介服务事项</w:t>
            </w:r>
            <w:r>
              <w:rPr>
                <w:rFonts w:hint="default" w:ascii="Times New Roman" w:hAnsi="Times New Roman" w:eastAsia="黑体" w:cs="Times New Roman"/>
                <w:i w:val="0"/>
                <w:color w:val="000000"/>
                <w:kern w:val="0"/>
                <w:sz w:val="20"/>
                <w:szCs w:val="20"/>
                <w:u w:val="none"/>
                <w:lang w:val="en-US" w:eastAsia="zh-CN" w:bidi="ar"/>
              </w:rPr>
              <w:br w:type="textWrapping"/>
            </w:r>
            <w:r>
              <w:rPr>
                <w:rFonts w:hint="default" w:ascii="Times New Roman" w:hAnsi="Times New Roman" w:eastAsia="黑体" w:cs="Times New Roman"/>
                <w:i w:val="0"/>
                <w:color w:val="000000"/>
                <w:kern w:val="0"/>
                <w:sz w:val="20"/>
                <w:szCs w:val="20"/>
                <w:u w:val="none"/>
                <w:lang w:val="en-US" w:eastAsia="zh-CN" w:bidi="ar"/>
              </w:rPr>
              <w:t>名称</w:t>
            </w:r>
          </w:p>
        </w:tc>
        <w:tc>
          <w:tcPr>
            <w:tcW w:w="12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涉及的行政审批事项名称</w:t>
            </w:r>
          </w:p>
        </w:tc>
        <w:tc>
          <w:tcPr>
            <w:tcW w:w="11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涉及的行政审批事项类型</w:t>
            </w: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涉及的行政审批事项办理材料</w:t>
            </w:r>
            <w:r>
              <w:rPr>
                <w:rFonts w:hint="default" w:ascii="Times New Roman" w:hAnsi="Times New Roman" w:eastAsia="黑体" w:cs="Times New Roman"/>
                <w:i w:val="0"/>
                <w:color w:val="000000"/>
                <w:kern w:val="0"/>
                <w:sz w:val="20"/>
                <w:szCs w:val="20"/>
                <w:u w:val="none"/>
                <w:lang w:val="en-US" w:eastAsia="zh-CN" w:bidi="ar"/>
              </w:rPr>
              <w:br w:type="textWrapping"/>
            </w:r>
            <w:r>
              <w:rPr>
                <w:rFonts w:hint="default" w:ascii="Times New Roman" w:hAnsi="Times New Roman" w:eastAsia="黑体" w:cs="Times New Roman"/>
                <w:i w:val="0"/>
                <w:color w:val="000000"/>
                <w:kern w:val="0"/>
                <w:sz w:val="20"/>
                <w:szCs w:val="20"/>
                <w:u w:val="none"/>
                <w:lang w:val="en-US" w:eastAsia="zh-CN" w:bidi="ar"/>
              </w:rPr>
              <w:t>名称</w:t>
            </w:r>
          </w:p>
        </w:tc>
        <w:tc>
          <w:tcPr>
            <w:tcW w:w="39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中介服务</w:t>
            </w:r>
            <w:r>
              <w:rPr>
                <w:rFonts w:hint="default" w:ascii="Times New Roman" w:hAnsi="Times New Roman" w:eastAsia="黑体" w:cs="Times New Roman"/>
                <w:i w:val="0"/>
                <w:color w:val="000000"/>
                <w:kern w:val="0"/>
                <w:sz w:val="20"/>
                <w:szCs w:val="20"/>
                <w:u w:val="none"/>
                <w:lang w:val="en-US" w:eastAsia="zh-CN" w:bidi="ar"/>
              </w:rPr>
              <w:br w:type="textWrapping"/>
            </w:r>
            <w:r>
              <w:rPr>
                <w:rFonts w:hint="default" w:ascii="Times New Roman" w:hAnsi="Times New Roman" w:eastAsia="黑体" w:cs="Times New Roman"/>
                <w:i w:val="0"/>
                <w:color w:val="000000"/>
                <w:kern w:val="0"/>
                <w:sz w:val="20"/>
                <w:szCs w:val="20"/>
                <w:u w:val="none"/>
                <w:lang w:val="en-US" w:eastAsia="zh-CN" w:bidi="ar"/>
              </w:rPr>
              <w:t>设定依据</w:t>
            </w:r>
          </w:p>
        </w:tc>
        <w:tc>
          <w:tcPr>
            <w:tcW w:w="12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中介服务</w:t>
            </w:r>
            <w:r>
              <w:rPr>
                <w:rFonts w:hint="default" w:ascii="Times New Roman" w:hAnsi="Times New Roman" w:eastAsia="黑体" w:cs="Times New Roman"/>
                <w:i w:val="0"/>
                <w:color w:val="000000"/>
                <w:kern w:val="0"/>
                <w:sz w:val="20"/>
                <w:szCs w:val="20"/>
                <w:u w:val="none"/>
                <w:lang w:val="en-US" w:eastAsia="zh-CN" w:bidi="ar"/>
              </w:rPr>
              <w:br w:type="textWrapping"/>
            </w:r>
            <w:r>
              <w:rPr>
                <w:rFonts w:hint="default" w:ascii="Times New Roman" w:hAnsi="Times New Roman" w:eastAsia="黑体" w:cs="Times New Roman"/>
                <w:i w:val="0"/>
                <w:color w:val="000000"/>
                <w:kern w:val="0"/>
                <w:sz w:val="20"/>
                <w:szCs w:val="20"/>
                <w:u w:val="none"/>
                <w:lang w:val="en-US" w:eastAsia="zh-CN" w:bidi="ar"/>
              </w:rPr>
              <w:t>实施机构</w:t>
            </w:r>
          </w:p>
        </w:tc>
        <w:tc>
          <w:tcPr>
            <w:tcW w:w="10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中介服务</w:t>
            </w:r>
            <w:r>
              <w:rPr>
                <w:rFonts w:hint="default" w:ascii="Times New Roman" w:hAnsi="Times New Roman" w:eastAsia="黑体" w:cs="Times New Roman"/>
                <w:i w:val="0"/>
                <w:color w:val="000000"/>
                <w:kern w:val="0"/>
                <w:sz w:val="20"/>
                <w:szCs w:val="20"/>
                <w:u w:val="none"/>
                <w:lang w:val="en-US" w:eastAsia="zh-CN" w:bidi="ar"/>
              </w:rPr>
              <w:br w:type="textWrapping"/>
            </w:r>
            <w:r>
              <w:rPr>
                <w:rFonts w:hint="default" w:ascii="Times New Roman" w:hAnsi="Times New Roman" w:eastAsia="黑体" w:cs="Times New Roman"/>
                <w:i w:val="0"/>
                <w:color w:val="000000"/>
                <w:kern w:val="0"/>
                <w:sz w:val="20"/>
                <w:szCs w:val="20"/>
                <w:u w:val="none"/>
                <w:lang w:val="en-US" w:eastAsia="zh-CN" w:bidi="ar"/>
              </w:rPr>
              <w:t>机构性质</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服务时限</w:t>
            </w:r>
          </w:p>
        </w:tc>
        <w:tc>
          <w:tcPr>
            <w:tcW w:w="9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涉及的行政审批事项实施层级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07" w:hRule="atLeast"/>
          <w:jc w:val="center"/>
        </w:trPr>
        <w:tc>
          <w:tcPr>
            <w:tcW w:w="3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消毒产品生产企业生产环境和生产用水检测</w:t>
            </w:r>
          </w:p>
        </w:tc>
        <w:tc>
          <w:tcPr>
            <w:tcW w:w="12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消毒产品生产企业（一次性使用医疗用品的生产企业除外）卫生许可</w:t>
            </w:r>
          </w:p>
        </w:tc>
        <w:tc>
          <w:tcPr>
            <w:tcW w:w="11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行政许可</w:t>
            </w: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生产用水检测报告；申报卫生用品的需提供生产环境检测报告，生产皮肤粘膜消毒剂、抗抑菌制剂（用于洗手的除外）需提供净化车间洁净度的检测报告</w:t>
            </w:r>
          </w:p>
        </w:tc>
        <w:tc>
          <w:tcPr>
            <w:tcW w:w="39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1.《消毒管理办法》（卫生部令2001年第27号修订）第二十条。2.《消毒产品生产企业卫生许可规定》（卫监督发〔2009〕110号）第五条、附件1。</w:t>
            </w:r>
          </w:p>
        </w:tc>
        <w:tc>
          <w:tcPr>
            <w:tcW w:w="12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经过计量认证的检验机构</w:t>
            </w:r>
          </w:p>
        </w:tc>
        <w:tc>
          <w:tcPr>
            <w:tcW w:w="10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事业单位、企业</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bidi="ar"/>
              </w:rPr>
              <w:t>双方协商约定</w:t>
            </w:r>
          </w:p>
        </w:tc>
        <w:tc>
          <w:tcPr>
            <w:tcW w:w="9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2" w:hRule="atLeast"/>
          <w:jc w:val="center"/>
        </w:trPr>
        <w:tc>
          <w:tcPr>
            <w:tcW w:w="3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出具公共场所卫生检测报告</w:t>
            </w:r>
          </w:p>
        </w:tc>
        <w:tc>
          <w:tcPr>
            <w:tcW w:w="12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公共场所卫生许可</w:t>
            </w:r>
          </w:p>
        </w:tc>
        <w:tc>
          <w:tcPr>
            <w:tcW w:w="11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行政许可</w:t>
            </w: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一年内的卫生检测报告</w:t>
            </w:r>
          </w:p>
        </w:tc>
        <w:tc>
          <w:tcPr>
            <w:tcW w:w="39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1.《广东省人民政府2012年行政审批制度改革事项目录（第一批）》第一点序号113-117、第三点序号57-59</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2.广东省卫生健康委关于全面推开公共场所卫生许可告知承诺制工作的通知第三部分  事中事后监管措施</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3.广东省卫生健康委关于全面推开公共场所卫生许可告知承诺制工作的通知第一部分  工作原则</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4.《公共场所卫生管理条例》第四条</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5.《国务院关于整合调整餐饮服务场所的公共场所卫生许可证和食品经营许可证的决定》第一、二、三点</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6.《国家卫生计生委关于修改〈新食品原料安全性审查管理办法〉等7件部门规章的决定》第一点至第七点</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7.《公共场所卫生管理条例实施细则》第二十二条</w:t>
            </w:r>
          </w:p>
        </w:tc>
        <w:tc>
          <w:tcPr>
            <w:tcW w:w="12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经过计量认证的检验机构</w:t>
            </w:r>
          </w:p>
        </w:tc>
        <w:tc>
          <w:tcPr>
            <w:tcW w:w="10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事业单位、企业</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bidi="ar"/>
              </w:rPr>
              <w:t>双方协商约定</w:t>
            </w:r>
          </w:p>
        </w:tc>
        <w:tc>
          <w:tcPr>
            <w:tcW w:w="9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市级、县级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4" w:hRule="atLeast"/>
          <w:jc w:val="center"/>
        </w:trPr>
        <w:tc>
          <w:tcPr>
            <w:tcW w:w="3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出具消毒产品生产企业的安全评估报告</w:t>
            </w:r>
          </w:p>
        </w:tc>
        <w:tc>
          <w:tcPr>
            <w:tcW w:w="12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消毒产品备案</w:t>
            </w:r>
          </w:p>
        </w:tc>
        <w:tc>
          <w:tcPr>
            <w:tcW w:w="11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其他</w:t>
            </w: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消毒产品卫生安全评价报告</w:t>
            </w:r>
          </w:p>
        </w:tc>
        <w:tc>
          <w:tcPr>
            <w:tcW w:w="39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《国家卫生计生委关于印发消毒产品卫生安全评价规定的通知》国卫监督发[2014]36号</w:t>
            </w:r>
          </w:p>
        </w:tc>
        <w:tc>
          <w:tcPr>
            <w:tcW w:w="12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经过计量认证的检验机构</w:t>
            </w:r>
          </w:p>
        </w:tc>
        <w:tc>
          <w:tcPr>
            <w:tcW w:w="10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事业单位、企业</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bidi="ar"/>
              </w:rPr>
              <w:t>双方协商约定</w:t>
            </w:r>
          </w:p>
        </w:tc>
        <w:tc>
          <w:tcPr>
            <w:tcW w:w="9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52" w:hRule="atLeast"/>
          <w:jc w:val="center"/>
        </w:trPr>
        <w:tc>
          <w:tcPr>
            <w:tcW w:w="3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出具办理《放射诊疗许可证》核发、校验以及放射诊疗场所设备变更所需的放射诊疗设备放射防护性能检测报告和放射诊疗场所防护检测报告</w:t>
            </w:r>
          </w:p>
        </w:tc>
        <w:tc>
          <w:tcPr>
            <w:tcW w:w="12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放射诊疗许可（核发、校验、放射诊疗场所设备变更）</w:t>
            </w:r>
          </w:p>
        </w:tc>
        <w:tc>
          <w:tcPr>
            <w:tcW w:w="11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行政许可</w:t>
            </w: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近一年放射诊疗设备防护性能检测和放射诊疗场所防护检测报告</w:t>
            </w:r>
          </w:p>
        </w:tc>
        <w:tc>
          <w:tcPr>
            <w:tcW w:w="39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1、《放射诊疗管理规定》（卫生部令2005年第46号）第十四条；2、《卫生部关于印发放射诊疗许可证发放管理程序的通知》（卫监督发〔2006〕479号）第六条、第十八条。</w:t>
            </w:r>
          </w:p>
        </w:tc>
        <w:tc>
          <w:tcPr>
            <w:tcW w:w="12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取得相应放射卫生技术服务机构资质证书的单位</w:t>
            </w:r>
          </w:p>
        </w:tc>
        <w:tc>
          <w:tcPr>
            <w:tcW w:w="10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事业单位、企业</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bidi="ar"/>
              </w:rPr>
              <w:t>双方协商约定</w:t>
            </w:r>
          </w:p>
        </w:tc>
        <w:tc>
          <w:tcPr>
            <w:tcW w:w="9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市级、县级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40" w:hRule="atLeast"/>
          <w:jc w:val="center"/>
        </w:trPr>
        <w:tc>
          <w:tcPr>
            <w:tcW w:w="3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出具放射诊疗建设项目职业病危害放射防护预评价报告书（表）</w:t>
            </w:r>
          </w:p>
        </w:tc>
        <w:tc>
          <w:tcPr>
            <w:tcW w:w="12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新建、扩建、改建放射诊疗建设项目卫生审查(预评价审核）</w:t>
            </w:r>
          </w:p>
        </w:tc>
        <w:tc>
          <w:tcPr>
            <w:tcW w:w="11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其他</w:t>
            </w: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放射诊疗建设项目职业病危害放射防护预评价报告书（表）</w:t>
            </w:r>
          </w:p>
        </w:tc>
        <w:tc>
          <w:tcPr>
            <w:tcW w:w="39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1.《职业病防治法》</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2.《放射诊疗管理规定》（卫生部令第46号公布、国家卫生和计划生育委员会令第8号修改）</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3.《卫生部关于印发&lt;放射卫生技术服务机构管理办法&gt;等文件的通知》（卫监发〔2012〕25号）</w:t>
            </w:r>
          </w:p>
        </w:tc>
        <w:tc>
          <w:tcPr>
            <w:tcW w:w="12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取得相应放射卫生技术服务机构资质证书</w:t>
            </w:r>
          </w:p>
        </w:tc>
        <w:tc>
          <w:tcPr>
            <w:tcW w:w="10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事业单位、企业</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bidi="ar"/>
              </w:rPr>
              <w:t>双方协商约定</w:t>
            </w:r>
          </w:p>
        </w:tc>
        <w:tc>
          <w:tcPr>
            <w:tcW w:w="9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市级、县级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3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出具放射诊疗建设项目职业病危害放射防护控制效果评价报告</w:t>
            </w:r>
          </w:p>
        </w:tc>
        <w:tc>
          <w:tcPr>
            <w:tcW w:w="12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新建、扩建、改建放射诊疗建设项目竣工验收</w:t>
            </w:r>
          </w:p>
        </w:tc>
        <w:tc>
          <w:tcPr>
            <w:tcW w:w="11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其他</w:t>
            </w: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放射诊疗建设项目职业病危害放射防护控制效果评价报告</w:t>
            </w:r>
          </w:p>
        </w:tc>
        <w:tc>
          <w:tcPr>
            <w:tcW w:w="39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1.《职业病防治法》</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2.《放射诊疗管理规定》（卫生部令第 46 号公布、国家卫生和计划生育委员会令第8号修改）</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3.《卫生部关于印发&lt;放射卫生技术服务机构管理办法&gt;等文件的通知》（卫监发〔2012〕25号）</w:t>
            </w:r>
          </w:p>
        </w:tc>
        <w:tc>
          <w:tcPr>
            <w:tcW w:w="12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取得相应放射卫生技术服务机构资质证书</w:t>
            </w:r>
          </w:p>
        </w:tc>
        <w:tc>
          <w:tcPr>
            <w:tcW w:w="10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事业单位、企业</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333333"/>
                <w:sz w:val="20"/>
                <w:szCs w:val="20"/>
                <w:u w:val="none"/>
              </w:rPr>
            </w:pPr>
            <w:r>
              <w:rPr>
                <w:rFonts w:hint="default" w:ascii="Times New Roman" w:hAnsi="Times New Roman" w:eastAsia="宋体" w:cs="Times New Roman"/>
                <w:i w:val="0"/>
                <w:color w:val="333333"/>
                <w:kern w:val="0"/>
                <w:sz w:val="20"/>
                <w:szCs w:val="20"/>
                <w:u w:val="none"/>
                <w:lang w:val="en-US" w:eastAsia="zh-CN" w:bidi="ar"/>
              </w:rPr>
              <w:t>双方协商约定</w:t>
            </w:r>
          </w:p>
        </w:tc>
        <w:tc>
          <w:tcPr>
            <w:tcW w:w="9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市级、县级</w:t>
            </w:r>
          </w:p>
        </w:tc>
      </w:tr>
    </w:tbl>
    <w:p>
      <w:pPr>
        <w:jc w:val="center"/>
        <w:rPr>
          <w:rFonts w:hint="eastAsia" w:ascii="方正小标宋简体" w:eastAsia="方正小标宋简体"/>
          <w:sz w:val="44"/>
          <w:szCs w:val="44"/>
        </w:rPr>
      </w:pPr>
    </w:p>
    <w:p>
      <w:pPr>
        <w:rPr>
          <w:rFonts w:hint="eastAsia" w:ascii="仿宋_GB2312" w:eastAsia="仿宋_GB2312"/>
          <w:snapToGrid w:val="0"/>
          <w:kern w:val="0"/>
          <w:sz w:val="32"/>
          <w:szCs w:val="32"/>
          <w:lang w:eastAsia="zh-CN"/>
        </w:rPr>
      </w:pPr>
    </w:p>
    <w:sectPr>
      <w:footerReference r:id="rId3" w:type="default"/>
      <w:pgSz w:w="16838" w:h="11906" w:orient="landscape"/>
      <w:pgMar w:top="1531" w:right="2041" w:bottom="1531" w:left="2041" w:header="851" w:footer="1332" w:gutter="0"/>
      <w:paperSrc/>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kVBSmswBAAB6AwAADgAAAAAAAAABACAAAAAiAQAAZHJz&#10;L2Uyb0RvYy54bWxQSwUGAAAAAAYABgBZAQAAYAU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CF"/>
    <w:rsid w:val="00027CCF"/>
    <w:rsid w:val="000F1BB5"/>
    <w:rsid w:val="0091462D"/>
    <w:rsid w:val="00A205A5"/>
    <w:rsid w:val="00C06919"/>
    <w:rsid w:val="00C577ED"/>
    <w:rsid w:val="00C71C8C"/>
    <w:rsid w:val="00FD0B84"/>
    <w:rsid w:val="08436426"/>
    <w:rsid w:val="16DE0CBB"/>
    <w:rsid w:val="1BBD2F84"/>
    <w:rsid w:val="2BE31E2C"/>
    <w:rsid w:val="32CE002A"/>
    <w:rsid w:val="3C9A6356"/>
    <w:rsid w:val="5C2A1EEB"/>
    <w:rsid w:val="5DDC74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5">
    <w:name w:val="Default Paragraph Font"/>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rPr>
  </w:style>
  <w:style w:type="paragraph" w:styleId="3">
    <w:name w:val="header"/>
    <w:basedOn w:val="1"/>
    <w:link w:val="7"/>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6">
    <w:name w:val="页脚 Char"/>
    <w:basedOn w:val="5"/>
    <w:link w:val="2"/>
    <w:uiPriority w:val="0"/>
    <w:rPr>
      <w:rFonts w:ascii="Times New Roman" w:hAnsi="Times New Roman" w:eastAsia="宋体" w:cs="Times New Roman"/>
      <w:kern w:val="2"/>
      <w:sz w:val="18"/>
      <w:szCs w:val="18"/>
    </w:rPr>
  </w:style>
  <w:style w:type="character" w:customStyle="1" w:styleId="7">
    <w:name w:val="页眉 Char"/>
    <w:basedOn w:val="5"/>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10.dot</Template>
  <Pages>1</Pages>
  <Words>0</Words>
  <Characters>0</Characters>
  <Lines>0</Lines>
  <Paragraphs>0</Paragraphs>
  <TotalTime>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2012-04-23T15:15:23Z</dcterms:created>
  <dc:creator>张婉玲</dc:creator>
  <cp:lastModifiedBy>eva</cp:lastModifiedBy>
  <dcterms:modified xsi:type="dcterms:W3CDTF">2020-12-10T09:49:54Z</dcterms:modified>
  <dc:title>正文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